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2</w:t>
      </w:r>
    </w:p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  <w:t>《地舒单抗注射液生物类似药（恶性肿瘤适应症）临床试验指导原则》</w:t>
      </w: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  <w:t>（征求意见稿）</w:t>
      </w:r>
    </w:p>
    <w:p>
      <w:pPr>
        <w:spacing w:before="312" w:beforeLines="100" w:after="312" w:afterLines="100"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Style w:val="5"/>
        <w:tblW w:w="8617" w:type="dxa"/>
        <w:tblInd w:w="-3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98"/>
        <w:gridCol w:w="2602"/>
        <w:gridCol w:w="222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电子邮箱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修订的位置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等线" w:hAnsi="等线" w:eastAsia="等线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  <w:rsid w:val="78C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5702F-66A3-4901-AA42-8A64510C0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2</TotalTime>
  <ScaleCrop>false</ScaleCrop>
  <LinksUpToDate>false</LinksUpToDate>
  <CharactersWithSpaces>185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2020-04-01T02:21:00Z</dcterms:created>
  <dc:creator>邱晓</dc:creator>
  <cp:lastModifiedBy>yim"</cp:lastModifiedBy>
  <cp:lastPrinted>2020-04-03T04:12:00Z</cp:lastPrinted>
  <dcterms:modified xsi:type="dcterms:W3CDTF">2020-04-21T03:25:46Z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